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Aksjonæravtale</w:t>
      </w:r>
    </w:p>
    <w:p>
      <w:pPr>
        <w:spacing w:after="160"/>
      </w:pPr>
      <w:r>
        <w:rPr>
          <w:i/>
          <w:iCs/>
          <w:color w:val="64748B"/>
          <w:sz w:val="20"/>
          <w:szCs w:val="20"/>
        </w:rPr>
        <w:t xml:space="preserve">Avtale mellom aksjonærene i selskapet</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aksjonæravtalen er inngått mellom følgende aksjonærer i selskapet (heretter "Partene" eller hver for seg "Aksjonær").</w:t>
      </w:r>
    </w:p>
    <w:p>
      <w:pPr>
        <w:spacing w:after="0" w:before="120"/>
      </w:pPr>
      <w:r>
        <w:rPr>
          <w:color w:val="64748B"/>
          <w:sz w:val="19"/>
          <w:szCs w:val="19"/>
        </w:rPr>
        <w:t xml:space="preserve">Selskapets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Forretningsadresse</w:t>
      </w:r>
    </w:p>
    <w:p>
      <w:pPr>
        <w:pBdr>
          <w:bottom w:val="single" w:color="CBD5E1" w:sz="6" w:space="4"/>
        </w:pBdr>
        <w:spacing w:after="140" w:before="40"/>
      </w:pPr>
      <w:r>
        <w:t xml:space="preserve"> </w:t>
      </w:r>
    </w:p>
    <w:p>
      <w:pPr>
        <w:spacing w:after="0" w:before="120"/>
      </w:pPr>
      <w:r>
        <w:rPr>
          <w:color w:val="64748B"/>
          <w:sz w:val="19"/>
          <w:szCs w:val="19"/>
        </w:rPr>
        <w:t xml:space="preserve">Aksjekapital (NOK)</w:t>
      </w:r>
    </w:p>
    <w:p>
      <w:pPr>
        <w:pBdr>
          <w:bottom w:val="single" w:color="CBD5E1" w:sz="6" w:space="4"/>
        </w:pBdr>
        <w:spacing w:after="140" w:before="40"/>
      </w:pPr>
      <w:r>
        <w:t xml:space="preserve"> </w:t>
      </w:r>
    </w:p>
    <w:p>
      <w:pPr>
        <w:spacing w:after="0" w:before="120"/>
      </w:pPr>
      <w:r>
        <w:rPr>
          <w:color w:val="64748B"/>
          <w:sz w:val="19"/>
          <w:szCs w:val="19"/>
        </w:rPr>
        <w:t xml:space="preserve">Antall aksjer totalt</w:t>
      </w:r>
    </w:p>
    <w:p>
      <w:pPr>
        <w:pBdr>
          <w:bottom w:val="single" w:color="CBD5E1" w:sz="6" w:space="4"/>
        </w:pBdr>
        <w:spacing w:after="140" w:before="40"/>
      </w:pPr>
      <w:r>
        <w:t xml:space="preserve"> </w:t>
      </w:r>
    </w:p>
    <w:p>
      <w:pPr>
        <w:spacing w:after="80"/>
      </w:pPr>
      <w:r>
        <w:rPr>
          <w:color w:val="334155"/>
          <w:sz w:val="21"/>
          <w:szCs w:val="21"/>
        </w:rPr>
        <w:t xml:space="preserve">Aksjonær 1</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spacing w:after="80"/>
      </w:pPr>
      <w:r>
        <w:rPr>
          <w:color w:val="334155"/>
          <w:sz w:val="21"/>
          <w:szCs w:val="21"/>
        </w:rPr>
        <w:t xml:space="preserve">Aksjonær 2</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spacing w:after="80"/>
      </w:pPr>
      <w:r>
        <w:rPr>
          <w:color w:val="334155"/>
          <w:sz w:val="21"/>
          <w:szCs w:val="21"/>
        </w:rPr>
        <w:t xml:space="preserve">Aksjonær 3 (fylles ut hvis aktuelt)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spacing w:after="80"/>
      </w:pPr>
      <w:r>
        <w:rPr>
          <w:color w:val="334155"/>
          <w:sz w:val="21"/>
          <w:szCs w:val="21"/>
        </w:rPr>
        <w:t xml:space="preserve">Aksjonær 4 (fylles ut hvis aktuelt)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Bakgrunn og formål</w:t>
      </w:r>
    </w:p>
    <w:p>
      <w:pPr>
        <w:spacing w:after="80"/>
      </w:pPr>
      <w:r>
        <w:rPr>
          <w:color w:val="334155"/>
          <w:sz w:val="21"/>
          <w:szCs w:val="21"/>
        </w:rPr>
        <w:t xml:space="preserve">Partene er aksjonærer i selskapet angitt ovenfor. Avtalen regulerer Partenes rettigheter og plikter som aksjonærer og supplerer selskapets vedtekter og aksjeloven av 13. juni 1997 nr. 44. Ved motstrid mellom avtalen og vedtektene går vedtektene foran overfor selskapet og tredjepart, jf. aksjeloven § 5-1.</w:t>
      </w:r>
    </w:p>
    <w:p>
      <w:pPr>
        <w:pStyle w:val="Heading2"/>
        <w:spacing w:after="80" w:before="240"/>
      </w:pPr>
      <w:r>
        <w:rPr>
          <w:b/>
          <w:bCs/>
          <w:color w:val="0F172A"/>
          <w:sz w:val="25"/>
          <w:szCs w:val="25"/>
        </w:rPr>
        <w:t xml:space="preserve">3. Beslutninger og kvalifisert flertall</w:t>
      </w:r>
    </w:p>
    <w:p>
      <w:pPr>
        <w:spacing w:after="80"/>
      </w:pPr>
      <w:r>
        <w:rPr>
          <w:color w:val="334155"/>
          <w:sz w:val="21"/>
          <w:szCs w:val="21"/>
        </w:rPr>
        <w:t xml:space="preserve">Beslutninger i generalforsamlingen treffes med alminnelig flertall etter aksjeloven § 5-17 med mindre annet følger av lov eller vedtekter. Partene er enige om at følgende saker krever kvalifisert flertall som angitt under, og at ingen Aksjonær er forpliktet til å stemme for et forslag i strid med slike krav.</w:t>
      </w:r>
    </w:p>
    <w:p>
      <w:pPr>
        <w:spacing w:after="40"/>
      </w:pPr>
      <w:r>
        <w:rPr>
          <w:color w:val="334155"/>
          <w:sz w:val="21"/>
          <w:szCs w:val="21"/>
        </w:rPr>
        <w:t xml:space="preserve">☐  Endring av vedtekter — krever 2/3 flertall (aksjeloven § 5-18) eller enstemmighet (kryss av)</w:t>
      </w:r>
    </w:p>
    <w:p>
      <w:pPr>
        <w:spacing w:after="40"/>
      </w:pPr>
      <w:r>
        <w:rPr>
          <w:color w:val="334155"/>
          <w:sz w:val="21"/>
          <w:szCs w:val="21"/>
        </w:rPr>
        <w:t xml:space="preserve">☐  Kapitalforhøyelse og kapitalnedsettelse — krever 2/3 flertall eller enstemmighet (kryss av)</w:t>
      </w:r>
    </w:p>
    <w:p>
      <w:pPr>
        <w:spacing w:after="40"/>
      </w:pPr>
      <w:r>
        <w:rPr>
          <w:color w:val="334155"/>
          <w:sz w:val="21"/>
          <w:szCs w:val="21"/>
        </w:rPr>
        <w:t xml:space="preserve">☐  Salg av vesentlige eiendeler eller virksomhetsoverdragelse — krever enstemmighet</w:t>
      </w:r>
    </w:p>
    <w:p>
      <w:pPr>
        <w:spacing w:after="40"/>
      </w:pPr>
      <w:r>
        <w:rPr>
          <w:color w:val="334155"/>
          <w:sz w:val="21"/>
          <w:szCs w:val="21"/>
        </w:rPr>
        <w:t xml:space="preserve">☐  Opptak av nye aksjonærer utover det som følger av forkjøpsretten — krever enstemmighet</w:t>
      </w:r>
    </w:p>
    <w:p>
      <w:pPr>
        <w:spacing w:after="40"/>
      </w:pPr>
      <w:r>
        <w:rPr>
          <w:color w:val="334155"/>
          <w:sz w:val="21"/>
          <w:szCs w:val="21"/>
        </w:rPr>
        <w:t xml:space="preserve">☐  Endring av aksjeklasser eller utstedelse av opsjoner — krever enstemmighet</w:t>
      </w:r>
    </w:p>
    <w:p>
      <w:pPr>
        <w:spacing w:after="40"/>
      </w:pPr>
      <w:r>
        <w:rPr>
          <w:color w:val="334155"/>
          <w:sz w:val="21"/>
          <w:szCs w:val="21"/>
        </w:rPr>
        <w:t xml:space="preserve">☐  Vedtak om oppløsning av selskapet — krever enstemmighet</w:t>
      </w:r>
    </w:p>
    <w:p>
      <w:pPr>
        <w:pStyle w:val="Heading2"/>
        <w:spacing w:after="80" w:before="240"/>
      </w:pPr>
      <w:r>
        <w:rPr>
          <w:b/>
          <w:bCs/>
          <w:color w:val="0F172A"/>
          <w:sz w:val="25"/>
          <w:szCs w:val="25"/>
        </w:rPr>
        <w:t xml:space="preserve">4. Styrerepresentasjon</w:t>
      </w:r>
    </w:p>
    <w:p>
      <w:pPr>
        <w:spacing w:after="80"/>
      </w:pPr>
      <w:r>
        <w:rPr>
          <w:color w:val="334155"/>
          <w:sz w:val="21"/>
          <w:szCs w:val="21"/>
        </w:rPr>
        <w:t xml:space="preserve">Partene er enige om følgende sammensetning av styret. Styremedlemmer velges av generalforsamlingen og kan kreves byttet av den Aksjonær som har utpekt vedkommende.</w:t>
      </w:r>
    </w:p>
    <w:p>
      <w:pPr>
        <w:spacing w:after="0" w:before="120"/>
      </w:pPr>
      <w:r>
        <w:rPr>
          <w:color w:val="64748B"/>
          <w:sz w:val="19"/>
          <w:szCs w:val="19"/>
        </w:rPr>
        <w:t xml:space="preserve">Antall styremedlemmer</w:t>
      </w:r>
    </w:p>
    <w:p>
      <w:pPr>
        <w:pBdr>
          <w:bottom w:val="single" w:color="CBD5E1" w:sz="6" w:space="4"/>
        </w:pBdr>
        <w:spacing w:after="140" w:before="40"/>
      </w:pPr>
      <w:r>
        <w:t xml:space="preserve"> </w:t>
      </w:r>
    </w:p>
    <w:p>
      <w:pPr>
        <w:spacing w:after="0" w:before="120"/>
      </w:pPr>
      <w:r>
        <w:rPr>
          <w:color w:val="64748B"/>
          <w:sz w:val="19"/>
          <w:szCs w:val="19"/>
        </w:rPr>
        <w:t xml:space="preserve">Aksjonær 1 utpeker (antall)</w:t>
      </w:r>
    </w:p>
    <w:p>
      <w:pPr>
        <w:pBdr>
          <w:bottom w:val="single" w:color="CBD5E1" w:sz="6" w:space="4"/>
        </w:pBdr>
        <w:spacing w:after="140" w:before="40"/>
      </w:pPr>
      <w:r>
        <w:t xml:space="preserve"> </w:t>
      </w:r>
    </w:p>
    <w:p>
      <w:pPr>
        <w:spacing w:after="0" w:before="120"/>
      </w:pPr>
      <w:r>
        <w:rPr>
          <w:color w:val="64748B"/>
          <w:sz w:val="19"/>
          <w:szCs w:val="19"/>
        </w:rPr>
        <w:t xml:space="preserve">Aksjonær 2 utpeker (antall)</w:t>
      </w:r>
    </w:p>
    <w:p>
      <w:pPr>
        <w:pBdr>
          <w:bottom w:val="single" w:color="CBD5E1" w:sz="6" w:space="4"/>
        </w:pBdr>
        <w:spacing w:after="140" w:before="40"/>
      </w:pPr>
      <w:r>
        <w:t xml:space="preserve"> </w:t>
      </w:r>
    </w:p>
    <w:p>
      <w:pPr>
        <w:spacing w:after="0" w:before="120"/>
      </w:pPr>
      <w:r>
        <w:rPr>
          <w:color w:val="64748B"/>
          <w:sz w:val="19"/>
          <w:szCs w:val="19"/>
        </w:rPr>
        <w:t xml:space="preserve">Aksjonær 3 utpeker (antall)</w:t>
      </w:r>
    </w:p>
    <w:p>
      <w:pPr>
        <w:pBdr>
          <w:bottom w:val="single" w:color="CBD5E1" w:sz="6" w:space="4"/>
        </w:pBdr>
        <w:spacing w:after="140" w:before="40"/>
      </w:pPr>
      <w:r>
        <w:t xml:space="preserve"> </w:t>
      </w:r>
    </w:p>
    <w:p>
      <w:pPr>
        <w:spacing w:after="0" w:before="120"/>
      </w:pPr>
      <w:r>
        <w:rPr>
          <w:color w:val="64748B"/>
          <w:sz w:val="19"/>
          <w:szCs w:val="19"/>
        </w:rPr>
        <w:t xml:space="preserve">Aksjonær 4 utpeker (antall)</w:t>
      </w:r>
    </w:p>
    <w:p>
      <w:pPr>
        <w:pBdr>
          <w:bottom w:val="single" w:color="CBD5E1" w:sz="6" w:space="4"/>
        </w:pBdr>
        <w:spacing w:after="140" w:before="40"/>
      </w:pPr>
      <w:r>
        <w:t xml:space="preserve"> </w:t>
      </w:r>
    </w:p>
    <w:p>
      <w:pPr>
        <w:spacing w:after="0" w:before="120"/>
      </w:pPr>
      <w:r>
        <w:rPr>
          <w:color w:val="64748B"/>
          <w:sz w:val="19"/>
          <w:szCs w:val="19"/>
        </w:rPr>
        <w:t xml:space="preserve">Styreleder utpekes av</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Utbyttepolitikk</w:t>
      </w:r>
    </w:p>
    <w:p>
      <w:pPr>
        <w:spacing w:after="80"/>
      </w:pPr>
      <w:r>
        <w:rPr>
          <w:color w:val="334155"/>
          <w:sz w:val="21"/>
          <w:szCs w:val="21"/>
        </w:rPr>
        <w:t xml:space="preserve">Partene tar sikte på følgende utbyttepolitikk, forutsatt at utdeling er forsvarlig etter aksjeloven § 8-1 og § 3-4 og at selskapet har tilstrekkelig likviditet til drift og planlagte investeringer.</w:t>
      </w:r>
    </w:p>
    <w:p>
      <w:pPr>
        <w:spacing w:after="40"/>
      </w:pPr>
      <w:r>
        <w:rPr>
          <w:color w:val="334155"/>
          <w:sz w:val="21"/>
          <w:szCs w:val="21"/>
        </w:rPr>
        <w:t xml:space="preserve">☐  Minst 50 prosent av årsresultatet etter skatt utdeles som utbytte hvert år</w:t>
      </w:r>
    </w:p>
    <w:p>
      <w:pPr>
        <w:spacing w:after="40"/>
      </w:pPr>
      <w:r>
        <w:rPr>
          <w:color w:val="334155"/>
          <w:sz w:val="21"/>
          <w:szCs w:val="21"/>
        </w:rPr>
        <w:t xml:space="preserve">☐  Minst 25 prosent av årsresultatet etter skatt utdeles som utbytte hvert år</w:t>
      </w:r>
    </w:p>
    <w:p>
      <w:pPr>
        <w:spacing w:after="40"/>
      </w:pPr>
      <w:r>
        <w:rPr>
          <w:color w:val="334155"/>
          <w:sz w:val="21"/>
          <w:szCs w:val="21"/>
        </w:rPr>
        <w:t xml:space="preserve">☐  Utbytte fastsettes etter styrets innstilling — ingen fast minsteandel</w:t>
      </w:r>
    </w:p>
    <w:p>
      <w:pPr>
        <w:spacing w:after="40"/>
      </w:pPr>
      <w:r>
        <w:rPr>
          <w:color w:val="334155"/>
          <w:sz w:val="21"/>
          <w:szCs w:val="21"/>
        </w:rPr>
        <w:t xml:space="preserve">☐  Annen utbyttepolitikk (presiseres nedenfor)</w:t>
      </w:r>
    </w:p>
    <w:p>
      <w:pPr>
        <w:spacing w:after="0" w:before="120"/>
      </w:pPr>
      <w:r>
        <w:rPr>
          <w:color w:val="64748B"/>
          <w:sz w:val="19"/>
          <w:szCs w:val="19"/>
        </w:rPr>
        <w:t xml:space="preserve">Eventuell særskilt utbyttepolitikk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Forkjøpsrett ved aksjeoverdragelse</w:t>
      </w:r>
    </w:p>
    <w:p>
      <w:pPr>
        <w:spacing w:after="80"/>
      </w:pPr>
      <w:r>
        <w:rPr>
          <w:color w:val="334155"/>
          <w:sz w:val="21"/>
          <w:szCs w:val="21"/>
        </w:rPr>
        <w:t xml:space="preserve">En Aksjonær som ønsker å selge eller på annen måte overføre sine aksjer skal først tilby aksjene til de øvrige Partene forholdsmessig etter deres eierandel, jf. aksjeloven §§ 4-19 til 4-23. Tilbudet skal være skriftlig og angi pris og vilkår. De øvrige Partene har frist som angitt under for å akseptere tilbudet.</w:t>
      </w:r>
    </w:p>
    <w:p>
      <w:pPr>
        <w:spacing w:after="0" w:before="120"/>
      </w:pPr>
      <w:r>
        <w:rPr>
          <w:color w:val="64748B"/>
          <w:sz w:val="19"/>
          <w:szCs w:val="19"/>
        </w:rPr>
        <w:t xml:space="preserve">Akseptfrist (antall dager)</w:t>
      </w:r>
    </w:p>
    <w:p>
      <w:pPr>
        <w:pBdr>
          <w:bottom w:val="single" w:color="CBD5E1" w:sz="6" w:space="4"/>
        </w:pBdr>
        <w:spacing w:after="140" w:before="40"/>
      </w:pPr>
      <w:r>
        <w:t xml:space="preserve"> </w:t>
      </w:r>
    </w:p>
    <w:p>
      <w:pPr>
        <w:spacing w:after="0" w:before="120"/>
      </w:pPr>
      <w:r>
        <w:rPr>
          <w:color w:val="64748B"/>
          <w:sz w:val="19"/>
          <w:szCs w:val="19"/>
        </w:rPr>
        <w:t xml:space="preserve">Oppgjørsfrist etter aksept (antall dager)</w:t>
      </w:r>
    </w:p>
    <w:p>
      <w:pPr>
        <w:pBdr>
          <w:bottom w:val="single" w:color="CBD5E1" w:sz="6" w:space="4"/>
        </w:pBdr>
        <w:spacing w:after="140" w:before="40"/>
      </w:pPr>
      <w:r>
        <w:t xml:space="preserve"> </w:t>
      </w:r>
    </w:p>
    <w:p>
      <w:pPr>
        <w:spacing w:after="0" w:before="120"/>
      </w:pPr>
      <w:r>
        <w:rPr>
          <w:color w:val="64748B"/>
          <w:sz w:val="19"/>
          <w:szCs w:val="19"/>
        </w:rPr>
        <w:t xml:space="preserve">Pris fastsettes som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Medsalgsrett (tag-along)</w:t>
      </w:r>
    </w:p>
    <w:p>
      <w:pPr>
        <w:spacing w:after="80"/>
      </w:pPr>
      <w:r>
        <w:rPr>
          <w:color w:val="334155"/>
          <w:sz w:val="21"/>
          <w:szCs w:val="21"/>
        </w:rPr>
        <w:t xml:space="preserve">Hvis en Aksjonær mottar et bud på sine aksjer fra en tredjepart som de øvrige Partene ikke utøver forkjøpsrett på, har de øvrige Partene rett til å kreve at deres aksjer kjøpes av tredjeparten på samme vilkår og til samme pris per aksje. Selger plikter å informere de øvrige skriftlig før salget gjennomføres.</w:t>
      </w:r>
    </w:p>
    <w:p>
      <w:pPr>
        <w:spacing w:after="0" w:before="120"/>
      </w:pPr>
      <w:r>
        <w:rPr>
          <w:color w:val="64748B"/>
          <w:sz w:val="19"/>
          <w:szCs w:val="19"/>
        </w:rPr>
        <w:t xml:space="preserve">Frist for å gjøre medsalgsrett gjeldende (antall dager)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Medsalgsplikt (drag-along)</w:t>
      </w:r>
    </w:p>
    <w:p>
      <w:pPr>
        <w:spacing w:after="80"/>
      </w:pPr>
      <w:r>
        <w:rPr>
          <w:color w:val="334155"/>
          <w:sz w:val="21"/>
          <w:szCs w:val="21"/>
        </w:rPr>
        <w:t xml:space="preserve">Dersom Aksjonærer som til sammen representerer minst den nedenfor angitte eierandel mottar et bud på 100 prosent av aksjene fra en uavhengig tredjepart, kan disse kreve at de øvrige Partene selger sine aksjer til samme tredjepart på like vilkår. Medsalgsplikten gjelder bare ved bud i kontanter eller børsnoterte aksjer.</w:t>
      </w:r>
    </w:p>
    <w:p>
      <w:pPr>
        <w:spacing w:after="0" w:before="120"/>
      </w:pPr>
      <w:r>
        <w:rPr>
          <w:color w:val="64748B"/>
          <w:sz w:val="19"/>
          <w:szCs w:val="19"/>
        </w:rPr>
        <w:t xml:space="preserve">Terskel for medsalgsplikt (prosent av aksjene)</w:t>
      </w:r>
    </w:p>
    <w:p>
      <w:pPr>
        <w:pBdr>
          <w:bottom w:val="single" w:color="CBD5E1" w:sz="6" w:space="4"/>
        </w:pBdr>
        <w:spacing w:after="140" w:before="40"/>
      </w:pPr>
      <w:r>
        <w:t xml:space="preserve"> </w:t>
      </w:r>
    </w:p>
    <w:p>
      <w:pPr>
        <w:spacing w:after="0" w:before="120"/>
      </w:pPr>
      <w:r>
        <w:rPr>
          <w:color w:val="64748B"/>
          <w:sz w:val="19"/>
          <w:szCs w:val="19"/>
        </w:rPr>
        <w:t xml:space="preserve">Minste tilbudspris per aksje (NOK,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Verdsettelse ved utløsning</w:t>
      </w:r>
    </w:p>
    <w:p>
      <w:pPr>
        <w:spacing w:after="80"/>
      </w:pPr>
      <w:r>
        <w:rPr>
          <w:color w:val="334155"/>
          <w:sz w:val="21"/>
          <w:szCs w:val="21"/>
        </w:rPr>
        <w:t xml:space="preserve">Ved innløsning, utløsning etter aksjeloven § 4-17 eller ved uenighet om pris under forkjøpsretten, fastsettes aksjenes verdi etter metoden valgt nedenfor. Kommer Partene ikke til enighet, oppnevnes en uavhengig vurderingsmann av selskapets revisor eller, hvis selskapet ikke har revisor, av tingretten.</w:t>
      </w:r>
    </w:p>
    <w:p>
      <w:pPr>
        <w:spacing w:after="40"/>
      </w:pPr>
      <w:r>
        <w:rPr>
          <w:color w:val="334155"/>
          <w:sz w:val="21"/>
          <w:szCs w:val="21"/>
        </w:rPr>
        <w:t xml:space="preserve">☐  Bokført egenkapital per siste årsregnskap</w:t>
      </w:r>
    </w:p>
    <w:p>
      <w:pPr>
        <w:spacing w:after="40"/>
      </w:pPr>
      <w:r>
        <w:rPr>
          <w:color w:val="334155"/>
          <w:sz w:val="21"/>
          <w:szCs w:val="21"/>
        </w:rPr>
        <w:t xml:space="preserve">☐  Substansverdi (markedsverdi av eiendeler minus gjeld)</w:t>
      </w:r>
    </w:p>
    <w:p>
      <w:pPr>
        <w:spacing w:after="40"/>
      </w:pPr>
      <w:r>
        <w:rPr>
          <w:color w:val="334155"/>
          <w:sz w:val="21"/>
          <w:szCs w:val="21"/>
        </w:rPr>
        <w:t xml:space="preserve">☐  Multippel av EBITDA — multiplikator avtales nedenfor</w:t>
      </w:r>
    </w:p>
    <w:p>
      <w:pPr>
        <w:spacing w:after="40"/>
      </w:pPr>
      <w:r>
        <w:rPr>
          <w:color w:val="334155"/>
          <w:sz w:val="21"/>
          <w:szCs w:val="21"/>
        </w:rPr>
        <w:t xml:space="preserve">☐  Uavhengig verdsettelse av oppnevnt vurderingsmann</w:t>
      </w:r>
    </w:p>
    <w:p>
      <w:pPr>
        <w:spacing w:after="40"/>
      </w:pPr>
      <w:r>
        <w:rPr>
          <w:color w:val="334155"/>
          <w:sz w:val="21"/>
          <w:szCs w:val="21"/>
        </w:rPr>
        <w:t xml:space="preserve">☐  Annen metode (presiseres nedenfor)</w:t>
      </w:r>
    </w:p>
    <w:p>
      <w:pPr>
        <w:spacing w:after="0" w:before="120"/>
      </w:pPr>
      <w:r>
        <w:rPr>
          <w:color w:val="64748B"/>
          <w:sz w:val="19"/>
          <w:szCs w:val="19"/>
        </w:rPr>
        <w:t xml:space="preserve">Nærmere om verdsettelsesmetode (multiplikator, justeringer mv.)</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Good leaver / bad leaver</w:t>
      </w:r>
    </w:p>
    <w:p>
      <w:pPr>
        <w:spacing w:after="80"/>
      </w:pPr>
      <w:r>
        <w:rPr>
          <w:color w:val="334155"/>
          <w:sz w:val="21"/>
          <w:szCs w:val="21"/>
        </w:rPr>
        <w:t xml:space="preserve">Dersom en Aksjonær som også er ansatt eller utfører tjenester for selskapet slutter, gjelder følgende. "Good leaver" foreligger ved død, varig sykdom, oppnådd pensjonsalder eller oppsigelse fra selskapets side uten saklig grunn. "Bad leaver" foreligger ved oppsigelse på grunn av vesentlig mislighold, avskjed eller egen oppsigelse innen perioden angitt nedenfor.</w:t>
      </w:r>
    </w:p>
    <w:p>
      <w:pPr>
        <w:spacing w:after="0" w:before="120"/>
      </w:pPr>
      <w:r>
        <w:rPr>
          <w:color w:val="64748B"/>
          <w:sz w:val="19"/>
          <w:szCs w:val="19"/>
        </w:rPr>
        <w:t xml:space="preserve">Bindingsperiode der egen oppsigelse regnes som bad leaver (måneder)</w:t>
      </w:r>
    </w:p>
    <w:p>
      <w:pPr>
        <w:pBdr>
          <w:bottom w:val="single" w:color="CBD5E1" w:sz="6" w:space="4"/>
        </w:pBdr>
        <w:spacing w:after="140" w:before="40"/>
      </w:pPr>
      <w:r>
        <w:t xml:space="preserve"> </w:t>
      </w:r>
    </w:p>
    <w:p>
      <w:pPr>
        <w:spacing w:after="0" w:before="120"/>
      </w:pPr>
      <w:r>
        <w:rPr>
          <w:color w:val="64748B"/>
          <w:sz w:val="19"/>
          <w:szCs w:val="19"/>
        </w:rPr>
        <w:t xml:space="preserve">Pris ved good leaver (prosent av verdsettelse etter pkt. 9)</w:t>
      </w:r>
    </w:p>
    <w:p>
      <w:pPr>
        <w:pBdr>
          <w:bottom w:val="single" w:color="CBD5E1" w:sz="6" w:space="4"/>
        </w:pBdr>
        <w:spacing w:after="140" w:before="40"/>
      </w:pPr>
      <w:r>
        <w:t xml:space="preserve"> </w:t>
      </w:r>
    </w:p>
    <w:p>
      <w:pPr>
        <w:spacing w:after="0" w:before="120"/>
      </w:pPr>
      <w:r>
        <w:rPr>
          <w:color w:val="64748B"/>
          <w:sz w:val="19"/>
          <w:szCs w:val="19"/>
        </w:rPr>
        <w:t xml:space="preserve">Pris ved bad leaver (prosent av verdsettelse etter pkt. 9)</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11. Konkurranseforbud</w:t>
      </w:r>
    </w:p>
    <w:p>
      <w:pPr>
        <w:spacing w:after="80"/>
      </w:pPr>
      <w:r>
        <w:rPr>
          <w:color w:val="334155"/>
          <w:sz w:val="21"/>
          <w:szCs w:val="21"/>
        </w:rPr>
        <w:t xml:space="preserve">I eierperioden plikter ingen Aksjonær — direkte eller indirekte — å drive eller delta i virksomhet som konkurrerer med selskapet uten skriftlig samtykke fra de øvrige Partene. Forbudet gjelder også for en periode etter at vedkommende har solgt sine aksjer, som angitt nedenfor. Geografisk og saklig virkeområde må stå i rimelig forhold til selskapets virksomhet.</w:t>
      </w:r>
    </w:p>
    <w:p>
      <w:pPr>
        <w:spacing w:after="0" w:before="120"/>
      </w:pPr>
      <w:r>
        <w:rPr>
          <w:color w:val="64748B"/>
          <w:sz w:val="19"/>
          <w:szCs w:val="19"/>
        </w:rPr>
        <w:t xml:space="preserve">Karenstid etter exit (måneder)</w:t>
      </w:r>
    </w:p>
    <w:p>
      <w:pPr>
        <w:pBdr>
          <w:bottom w:val="single" w:color="CBD5E1" w:sz="6" w:space="4"/>
        </w:pBdr>
        <w:spacing w:after="140" w:before="40"/>
      </w:pPr>
      <w:r>
        <w:t xml:space="preserve"> </w:t>
      </w:r>
    </w:p>
    <w:p>
      <w:pPr>
        <w:spacing w:after="0" w:before="120"/>
      </w:pPr>
      <w:r>
        <w:rPr>
          <w:color w:val="64748B"/>
          <w:sz w:val="19"/>
          <w:szCs w:val="19"/>
        </w:rPr>
        <w:t xml:space="preserve">Geografisk virkeområde</w:t>
      </w:r>
    </w:p>
    <w:p>
      <w:pPr>
        <w:pBdr>
          <w:bottom w:val="single" w:color="CBD5E1" w:sz="6" w:space="4"/>
        </w:pBdr>
        <w:spacing w:after="140" w:before="40"/>
      </w:pPr>
      <w:r>
        <w:t xml:space="preserve"> </w:t>
      </w:r>
    </w:p>
    <w:p>
      <w:pPr>
        <w:spacing w:after="0" w:before="120"/>
      </w:pPr>
      <w:r>
        <w:rPr>
          <w:color w:val="64748B"/>
          <w:sz w:val="19"/>
          <w:szCs w:val="19"/>
        </w:rPr>
        <w:t xml:space="preserve">Saklig virkeområde (bransje/produkter)</w:t>
      </w:r>
    </w:p>
    <w:p>
      <w:pPr>
        <w:pBdr>
          <w:bottom w:val="single" w:color="CBD5E1" w:sz="6" w:space="4"/>
        </w:pBdr>
        <w:spacing w:after="140" w:before="40"/>
      </w:pPr>
      <w:r>
        <w:t xml:space="preserve"> </w:t>
      </w:r>
    </w:p>
    <w:p>
      <w:pPr>
        <w:spacing w:after="0" w:before="120"/>
      </w:pPr>
      <w:r>
        <w:rPr>
          <w:color w:val="64748B"/>
          <w:sz w:val="19"/>
          <w:szCs w:val="19"/>
        </w:rPr>
        <w:t xml:space="preserve">Konvensjonalbot ved brudd (NOK)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Taushetsplikt</w:t>
      </w:r>
    </w:p>
    <w:p>
      <w:pPr>
        <w:spacing w:after="80"/>
      </w:pPr>
      <w:r>
        <w:rPr>
          <w:color w:val="334155"/>
          <w:sz w:val="21"/>
          <w:szCs w:val="21"/>
        </w:rPr>
        <w:t xml:space="preserve">Partene har taushetsplikt om alle forretningshemmeligheter, kundeforhold, finansielle opplysninger og strategiske planer de får kjennskap til som aksjonær. Taushetsplikten gjelder også etter at vedkommende har gått ut av selskapet, og er ikke tidsbegrenset for opplysninger som etter sin art er fortrolige.</w:t>
      </w:r>
    </w:p>
    <w:p>
      <w:pPr>
        <w:pStyle w:val="Heading2"/>
        <w:spacing w:after="80" w:before="240"/>
      </w:pPr>
      <w:r>
        <w:rPr>
          <w:b/>
          <w:bCs/>
          <w:color w:val="0F172A"/>
          <w:sz w:val="25"/>
          <w:szCs w:val="25"/>
        </w:rPr>
        <w:t xml:space="preserve">13. Tvisteløsning, lovvalg og verneting</w:t>
      </w:r>
    </w:p>
    <w:p>
      <w:pPr>
        <w:spacing w:after="80"/>
      </w:pPr>
      <w:r>
        <w:rPr>
          <w:color w:val="334155"/>
          <w:sz w:val="21"/>
          <w:szCs w:val="21"/>
        </w:rPr>
        <w:t xml:space="preserve">Avtalen er underlagt norsk rett. Tvister som oppstår i forbindelse med avtalen skal søkes løst i minnelighet. Lykkes ikke dette innen 30 dager, skal tvisten avgjøres etter alternativet valgt nedenfor.</w:t>
      </w:r>
    </w:p>
    <w:p>
      <w:pPr>
        <w:spacing w:after="40"/>
      </w:pPr>
      <w:r>
        <w:rPr>
          <w:color w:val="334155"/>
          <w:sz w:val="21"/>
          <w:szCs w:val="21"/>
        </w:rPr>
        <w:t xml:space="preserve">☐  Ordinær domstolsbehandling med selskapets forretningsadresse som verneting</w:t>
      </w:r>
    </w:p>
    <w:p>
      <w:pPr>
        <w:spacing w:after="40"/>
      </w:pPr>
      <w:r>
        <w:rPr>
          <w:color w:val="334155"/>
          <w:sz w:val="21"/>
          <w:szCs w:val="21"/>
        </w:rPr>
        <w:t xml:space="preserve">☐  Voldgift etter voldgiftsloven av 14. mai 2004 nr. 25 med sete på selskapets forretningsadresse</w:t>
      </w:r>
    </w:p>
    <w:p>
      <w:pPr>
        <w:pStyle w:val="Heading2"/>
        <w:spacing w:after="80" w:before="240"/>
      </w:pPr>
      <w:r>
        <w:rPr>
          <w:b/>
          <w:bCs/>
          <w:color w:val="0F172A"/>
          <w:sz w:val="25"/>
          <w:szCs w:val="25"/>
        </w:rPr>
        <w:t xml:space="preserve">14. Varighet og opphør</w:t>
      </w:r>
    </w:p>
    <w:p>
      <w:pPr>
        <w:spacing w:after="80"/>
      </w:pPr>
      <w:r>
        <w:rPr>
          <w:color w:val="334155"/>
          <w:sz w:val="21"/>
          <w:szCs w:val="21"/>
        </w:rPr>
        <w:t xml:space="preserve">Avtalen gjelder så lenge minst to av Partene er aksjonærer i selskapet. En Aksjonær som overdrar samtlige aksjer i samsvar med avtalen, trer ut av avtalen med virkning fra overdragelsestidspunktet, men forblir bundet av taushetsplikt og konkurranseforbud som angitt ovenfor.</w:t>
      </w:r>
    </w:p>
    <w:p>
      <w:pPr>
        <w:spacing w:after="0" w:before="120"/>
      </w:pPr>
      <w:r>
        <w:rPr>
          <w:color w:val="64748B"/>
          <w:sz w:val="19"/>
          <w:szCs w:val="19"/>
        </w:rPr>
        <w:t xml:space="preserve">Eventuell særskilt opphørsbestemmelse</w:t>
      </w:r>
    </w:p>
    <w:p>
      <w:pPr>
        <w:pBdr>
          <w:bottom w:val="single" w:color="CBD5E1" w:sz="6" w:space="4"/>
        </w:pBdr>
        <w:spacing w:after="140" w:before="40"/>
      </w:pPr>
      <w:r>
        <w:t xml:space="preserve"> </w:t>
      </w:r>
    </w:p>
    <w:p>
      <w:r>
        <w:t xml:space="preserve"> </w:t>
      </w:r>
    </w:p>
    <w:p>
      <w:pPr>
        <w:pStyle w:val="Heading2"/>
        <w:spacing w:after="80" w:before="240"/>
      </w:pPr>
      <w:r>
        <w:rPr>
          <w:b/>
          <w:bCs/>
          <w:color w:val="0F172A"/>
          <w:sz w:val="25"/>
          <w:szCs w:val="25"/>
        </w:rPr>
        <w:t xml:space="preserve">15. Signaturer</w:t>
      </w:r>
    </w:p>
    <w:p>
      <w:pPr>
        <w:spacing w:after="80"/>
      </w:pPr>
      <w:r>
        <w:rPr>
          <w:color w:val="334155"/>
          <w:sz w:val="21"/>
          <w:szCs w:val="21"/>
        </w:rPr>
        <w:t xml:space="preserve">Avtalen er inngått i ett elektronisk eksemplar som signeres av samtlige Aksjonærer. Hver Aksjonær mottar en signert kopi etter at alle har signert.</w:t>
      </w:r>
    </w:p>
    <w:p>
      <w:pPr>
        <w:pBdr>
          <w:bottom w:val="single" w:color="CBD5E1" w:sz="6" w:space="4"/>
        </w:pBdr>
        <w:spacing w:after="20" w:before="320"/>
      </w:pPr>
      <w:r>
        <w:t xml:space="preserve"> </w:t>
      </w:r>
    </w:p>
    <w:p>
      <w:pPr>
        <w:spacing w:after="60"/>
      </w:pPr>
      <w:r>
        <w:rPr>
          <w:color w:val="64748B"/>
          <w:sz w:val="18"/>
          <w:szCs w:val="18"/>
        </w:rPr>
        <w:t xml:space="preserve">Sted og dato — Aksjonær 1 (signatur)</w:t>
      </w:r>
    </w:p>
    <w:p>
      <w:pPr>
        <w:pBdr>
          <w:bottom w:val="single" w:color="CBD5E1" w:sz="6" w:space="4"/>
        </w:pBdr>
        <w:spacing w:after="20" w:before="320"/>
      </w:pPr>
      <w:r>
        <w:t xml:space="preserve"> </w:t>
      </w:r>
    </w:p>
    <w:p>
      <w:pPr>
        <w:spacing w:after="60"/>
      </w:pPr>
      <w:r>
        <w:rPr>
          <w:color w:val="64748B"/>
          <w:sz w:val="18"/>
          <w:szCs w:val="18"/>
        </w:rPr>
        <w:t xml:space="preserve">Sted og dato — Aksjonær 2 (signatur)</w:t>
      </w:r>
    </w:p>
    <w:p>
      <w:pPr>
        <w:pBdr>
          <w:bottom w:val="single" w:color="CBD5E1" w:sz="6" w:space="4"/>
        </w:pBdr>
        <w:spacing w:after="20" w:before="320"/>
      </w:pPr>
      <w:r>
        <w:t xml:space="preserve"> </w:t>
      </w:r>
    </w:p>
    <w:p>
      <w:pPr>
        <w:spacing w:after="60"/>
      </w:pPr>
      <w:r>
        <w:rPr>
          <w:color w:val="64748B"/>
          <w:sz w:val="18"/>
          <w:szCs w:val="18"/>
        </w:rPr>
        <w:t xml:space="preserve">Sted og dato — Aksjonær 3 (signatur)</w:t>
      </w:r>
    </w:p>
    <w:p>
      <w:pPr>
        <w:pBdr>
          <w:bottom w:val="single" w:color="CBD5E1" w:sz="6" w:space="4"/>
        </w:pBdr>
        <w:spacing w:after="20" w:before="320"/>
      </w:pPr>
      <w:r>
        <w:t xml:space="preserve"> </w:t>
      </w:r>
    </w:p>
    <w:p>
      <w:pPr>
        <w:spacing w:after="60"/>
      </w:pPr>
      <w:r>
        <w:rPr>
          <w:color w:val="64748B"/>
          <w:sz w:val="18"/>
          <w:szCs w:val="18"/>
        </w:rPr>
        <w:t xml:space="preserve">Sted og dato — Aksjonær 4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Aksjonæravtale</dc:title>
  <dc:creator>esigner.no</dc:creator>
  <dc:description>Aksjonæravtale for norsk AS med 2–4 eiere. Regulerer forkjøpsrett, medsalg, exit, beslutninger, utbytte og konkurranseforbud. Last ned PDF og signer med BankID.</dc:description>
  <cp:lastModifiedBy>Un-named</cp:lastModifiedBy>
  <cp:revision>1</cp:revision>
  <dcterms:created xsi:type="dcterms:W3CDTF">2026-06-19T11:06:03.007Z</dcterms:created>
  <dcterms:modified xsi:type="dcterms:W3CDTF">2026-06-19T11:06:03.007Z</dcterms:modified>
</cp:coreProperties>
</file>

<file path=docProps/custom.xml><?xml version="1.0" encoding="utf-8"?>
<Properties xmlns="http://schemas.openxmlformats.org/officeDocument/2006/custom-properties" xmlns:vt="http://schemas.openxmlformats.org/officeDocument/2006/docPropsVTypes"/>
</file>