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Pantedokument — salgspant i løsøre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Salgspant etter panteloven §§ 3-14 flg. Avtales senest ved overleveringen.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Panthaver (selger/långiver)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 / org.nr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Pantsetter (kjøper/debitor)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 / org.nr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Kravet som sikres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Grunnlag (kjøpekontrakt/finansieringsavtale, dato)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Hovedstol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 rente og omkostninger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Pantobjektet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Beskrivelse av gjenstanden (type, merke, modell)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Identifikasjon (serienummer; for kjøretøy: reg.nr og understellsnummer/VIN)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Salgspant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Til sikkerhet for kravet i punkt 2 avtales salgspant i gjenstanden i punkt 3, jf. panteloven § 3-14. Avtalen er inngått senest samtidig med at gjenstanden overleveres pantsetteren, jf. § 3-17. Pantsetteren kan ikke selge, pantsette på nytt eller på annen måte forføye rettslig over gjenstanden uten panthavers skriftlige samtykke så lenge kravet ikke er innfridd.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Rettsvern og tinglysing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Pantobjektet er en motorvogn — salgspantet tinglyses i Løsøreregisteret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Pantobjektet er annet løsøre — tinglysing er ikke nødvendig for rettsvern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Hvem besørger tinglysingen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Hvem betaler tinglysingsgebyret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Innfrielse og sletting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Når kravet med rente og omkostninger er fullt innfridd, faller panteretten bort. Panthaver skal uten ugrunnet opphold sørge for at et tinglyst salgspant slettes i Løsøreregisteret.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Mislighold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vesentlig mislighold av kravet kan panthaver kreve dekning i pantobjektet etter reglene i tvangsfullbyrdelsesloven. I forbrukerforhold gjelder i tillegg reglene om tilbakelevering i finansavtaleloven.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Signatur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Panthaver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Pantsetter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Pantedokument — salgspant i løsøre</dc:title>
  <dc:creator>esigner.no</dc:creator>
  <dc:description>Gratis pantedokument for salgspant i løsøre — bil, båt, maskiner eller annet utstyr. Pantekrav, pantobjekt, rettsvern og sletting. PDF eller Word.</dc:description>
  <cp:lastModifiedBy>Un-named</cp:lastModifiedBy>
  <cp:revision>1</cp:revision>
  <dcterms:created xsi:type="dcterms:W3CDTF">2026-06-19T11:06:02.871Z</dcterms:created>
  <dcterms:modified xsi:type="dcterms:W3CDTF">2026-06-19T11:06:02.871Z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